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53" w:rsidRPr="001E6871" w:rsidRDefault="00875753" w:rsidP="00875753">
      <w:pPr>
        <w:pStyle w:val="Default"/>
        <w:jc w:val="both"/>
        <w:rPr>
          <w:rFonts w:asciiTheme="majorHAnsi" w:hAnsiTheme="majorHAnsi" w:cstheme="minorHAnsi"/>
          <w:b/>
          <w:bCs/>
          <w:sz w:val="23"/>
          <w:szCs w:val="23"/>
        </w:rPr>
      </w:pPr>
      <w:r w:rsidRPr="001E6871">
        <w:rPr>
          <w:rFonts w:asciiTheme="majorHAnsi" w:hAnsiTheme="majorHAnsi" w:cstheme="minorHAnsi"/>
          <w:b/>
          <w:bCs/>
          <w:sz w:val="23"/>
          <w:szCs w:val="23"/>
        </w:rPr>
        <w:t xml:space="preserve">Na </w:t>
      </w:r>
      <w:r w:rsidR="00CC4000" w:rsidRPr="001E6871">
        <w:rPr>
          <w:rFonts w:asciiTheme="majorHAnsi" w:hAnsiTheme="majorHAnsi" w:cstheme="minorHAnsi"/>
          <w:b/>
          <w:bCs/>
          <w:sz w:val="23"/>
          <w:szCs w:val="23"/>
        </w:rPr>
        <w:t>temelju Postupaka</w:t>
      </w:r>
      <w:r w:rsidRPr="001E6871">
        <w:rPr>
          <w:rFonts w:asciiTheme="majorHAnsi" w:hAnsiTheme="majorHAnsi" w:cstheme="minorHAnsi"/>
          <w:b/>
          <w:bCs/>
          <w:sz w:val="23"/>
          <w:szCs w:val="23"/>
        </w:rPr>
        <w:t xml:space="preserve"> nabave za osobe koje nisu obveznici Zakona o javnoj nabavi,</w:t>
      </w:r>
      <w:r w:rsidR="00CC4000" w:rsidRPr="001E6871">
        <w:rPr>
          <w:rFonts w:asciiTheme="majorHAnsi" w:hAnsiTheme="majorHAnsi" w:cstheme="minorHAnsi"/>
          <w:b/>
          <w:bCs/>
          <w:sz w:val="23"/>
          <w:szCs w:val="23"/>
        </w:rPr>
        <w:t xml:space="preserve"> točki 3. i 8.4.,</w:t>
      </w:r>
      <w:r w:rsidRPr="001E6871">
        <w:rPr>
          <w:rFonts w:asciiTheme="majorHAnsi" w:hAnsiTheme="majorHAnsi" w:cstheme="minorHAnsi"/>
          <w:b/>
          <w:bCs/>
          <w:sz w:val="23"/>
          <w:szCs w:val="23"/>
        </w:rPr>
        <w:t xml:space="preserve"> u postupku nabave potrepština za </w:t>
      </w:r>
      <w:r w:rsidR="00CC4000" w:rsidRPr="001E6871">
        <w:rPr>
          <w:rFonts w:asciiTheme="majorHAnsi" w:hAnsiTheme="majorHAnsi" w:cstheme="minorHAnsi"/>
          <w:b/>
          <w:bCs/>
          <w:sz w:val="23"/>
          <w:szCs w:val="23"/>
        </w:rPr>
        <w:t>krajnje korisnike Ev.br. 5-2018</w:t>
      </w:r>
      <w:r w:rsidRPr="001E6871">
        <w:rPr>
          <w:rFonts w:asciiTheme="majorHAnsi" w:hAnsiTheme="majorHAnsi" w:cstheme="minorHAnsi"/>
          <w:b/>
          <w:bCs/>
          <w:sz w:val="23"/>
          <w:szCs w:val="23"/>
        </w:rPr>
        <w:t xml:space="preserve"> u sklopu projekta </w:t>
      </w:r>
      <w:r w:rsidRPr="001E6871">
        <w:rPr>
          <w:rFonts w:asciiTheme="majorHAnsi" w:hAnsiTheme="majorHAnsi" w:cstheme="minorHAnsi"/>
          <w:noProof/>
          <w:sz w:val="23"/>
          <w:szCs w:val="23"/>
          <w:lang w:val="en-US"/>
        </w:rPr>
        <w:t>“</w:t>
      </w:r>
      <w:r w:rsidRPr="001E6871">
        <w:rPr>
          <w:rFonts w:asciiTheme="majorHAnsi" w:hAnsiTheme="majorHAnsi" w:cstheme="minorHAnsi"/>
          <w:b/>
          <w:noProof/>
          <w:sz w:val="23"/>
          <w:szCs w:val="23"/>
          <w:lang w:val="en-US"/>
        </w:rPr>
        <w:t>Program zapošljavanja žena u Cerni, Gradištu i Gunji”</w:t>
      </w:r>
      <w:r w:rsidR="00CC4000" w:rsidRPr="001E6871">
        <w:rPr>
          <w:rFonts w:asciiTheme="majorHAnsi" w:hAnsiTheme="majorHAnsi" w:cstheme="minorHAnsi"/>
          <w:b/>
          <w:noProof/>
          <w:sz w:val="23"/>
          <w:szCs w:val="23"/>
          <w:lang w:val="en-US"/>
        </w:rPr>
        <w:t>,</w:t>
      </w:r>
      <w:r w:rsidRPr="001E6871">
        <w:rPr>
          <w:rFonts w:asciiTheme="majorHAnsi" w:hAnsiTheme="majorHAnsi" w:cstheme="minorHAnsi"/>
          <w:noProof/>
          <w:sz w:val="23"/>
          <w:szCs w:val="23"/>
          <w:lang w:val="en-US"/>
        </w:rPr>
        <w:t xml:space="preserve"> </w:t>
      </w:r>
      <w:r w:rsidRPr="001E6871">
        <w:rPr>
          <w:rFonts w:asciiTheme="majorHAnsi" w:hAnsiTheme="majorHAnsi" w:cstheme="minorHAnsi"/>
          <w:b/>
          <w:bCs/>
          <w:sz w:val="23"/>
          <w:szCs w:val="23"/>
        </w:rPr>
        <w:t>Naručitelj HRVATSKI CRVENI KRIŽ - GRADSKO DRUŠTVO CRVENOG KRIŽA ŽUPANJA objavljuje</w:t>
      </w:r>
    </w:p>
    <w:p w:rsidR="00875753" w:rsidRDefault="00875753" w:rsidP="00875753">
      <w:pPr>
        <w:pStyle w:val="Default"/>
        <w:rPr>
          <w:rFonts w:asciiTheme="majorHAnsi" w:hAnsiTheme="majorHAnsi"/>
          <w:b/>
          <w:bCs/>
          <w:sz w:val="23"/>
          <w:szCs w:val="23"/>
        </w:rPr>
      </w:pPr>
    </w:p>
    <w:p w:rsidR="00875753" w:rsidRPr="001E6871" w:rsidRDefault="00875753" w:rsidP="00875753">
      <w:pPr>
        <w:pStyle w:val="Default"/>
        <w:rPr>
          <w:rFonts w:asciiTheme="majorHAnsi" w:hAnsiTheme="majorHAnsi"/>
          <w:b/>
          <w:bCs/>
          <w:sz w:val="23"/>
          <w:szCs w:val="23"/>
        </w:rPr>
      </w:pPr>
      <w:r w:rsidRPr="001E6871">
        <w:rPr>
          <w:rFonts w:asciiTheme="majorHAnsi" w:hAnsiTheme="majorHAnsi"/>
          <w:b/>
          <w:bCs/>
          <w:sz w:val="23"/>
          <w:szCs w:val="23"/>
        </w:rPr>
        <w:tab/>
      </w:r>
      <w:r w:rsidRPr="001E6871">
        <w:rPr>
          <w:rFonts w:asciiTheme="majorHAnsi" w:hAnsiTheme="majorHAnsi"/>
          <w:b/>
          <w:bCs/>
          <w:sz w:val="23"/>
          <w:szCs w:val="23"/>
        </w:rPr>
        <w:tab/>
      </w:r>
      <w:r w:rsidRPr="001E6871">
        <w:rPr>
          <w:rFonts w:asciiTheme="majorHAnsi" w:hAnsiTheme="majorHAnsi"/>
          <w:b/>
          <w:bCs/>
          <w:sz w:val="23"/>
          <w:szCs w:val="23"/>
        </w:rPr>
        <w:tab/>
      </w:r>
      <w:r w:rsidRPr="001E6871">
        <w:rPr>
          <w:rFonts w:asciiTheme="majorHAnsi" w:hAnsiTheme="majorHAnsi"/>
          <w:b/>
          <w:bCs/>
          <w:sz w:val="23"/>
          <w:szCs w:val="23"/>
        </w:rPr>
        <w:tab/>
      </w:r>
      <w:r w:rsidR="00CE3359" w:rsidRPr="001E6871">
        <w:rPr>
          <w:rFonts w:asciiTheme="majorHAnsi" w:hAnsiTheme="majorHAnsi"/>
          <w:b/>
          <w:bCs/>
          <w:sz w:val="23"/>
          <w:szCs w:val="23"/>
        </w:rPr>
        <w:t>1</w:t>
      </w:r>
      <w:r w:rsidRPr="001E6871">
        <w:rPr>
          <w:rFonts w:asciiTheme="majorHAnsi" w:hAnsiTheme="majorHAnsi"/>
          <w:b/>
          <w:bCs/>
          <w:sz w:val="23"/>
          <w:szCs w:val="23"/>
        </w:rPr>
        <w:t>. Izmjen</w:t>
      </w:r>
      <w:r w:rsidR="00EB6802" w:rsidRPr="001E6871">
        <w:rPr>
          <w:rFonts w:asciiTheme="majorHAnsi" w:hAnsiTheme="majorHAnsi"/>
          <w:b/>
          <w:bCs/>
          <w:sz w:val="23"/>
          <w:szCs w:val="23"/>
        </w:rPr>
        <w:t>e</w:t>
      </w:r>
      <w:r w:rsidR="00D40C99" w:rsidRPr="001E6871">
        <w:rPr>
          <w:rFonts w:asciiTheme="majorHAnsi" w:hAnsiTheme="majorHAnsi"/>
          <w:b/>
          <w:bCs/>
          <w:sz w:val="23"/>
          <w:szCs w:val="23"/>
        </w:rPr>
        <w:t xml:space="preserve"> </w:t>
      </w:r>
      <w:r w:rsidRPr="001E6871">
        <w:rPr>
          <w:rFonts w:asciiTheme="majorHAnsi" w:hAnsiTheme="majorHAnsi"/>
          <w:b/>
          <w:bCs/>
          <w:sz w:val="23"/>
          <w:szCs w:val="23"/>
        </w:rPr>
        <w:t xml:space="preserve"> </w:t>
      </w:r>
      <w:r w:rsidR="00D40C99" w:rsidRPr="001E6871">
        <w:rPr>
          <w:rFonts w:asciiTheme="majorHAnsi" w:hAnsiTheme="majorHAnsi"/>
          <w:b/>
          <w:bCs/>
          <w:sz w:val="23"/>
          <w:szCs w:val="23"/>
        </w:rPr>
        <w:t>Dokumentacije o N</w:t>
      </w:r>
      <w:r w:rsidRPr="001E6871">
        <w:rPr>
          <w:rFonts w:asciiTheme="majorHAnsi" w:hAnsiTheme="majorHAnsi"/>
          <w:b/>
          <w:bCs/>
          <w:sz w:val="23"/>
          <w:szCs w:val="23"/>
        </w:rPr>
        <w:t xml:space="preserve">abavi </w:t>
      </w:r>
    </w:p>
    <w:p w:rsidR="00875753" w:rsidRPr="001E6871" w:rsidRDefault="00875753" w:rsidP="00875753">
      <w:pPr>
        <w:pStyle w:val="Default"/>
        <w:rPr>
          <w:rFonts w:asciiTheme="majorHAnsi" w:hAnsiTheme="majorHAnsi"/>
          <w:b/>
          <w:bCs/>
          <w:sz w:val="23"/>
          <w:szCs w:val="23"/>
        </w:rPr>
      </w:pPr>
    </w:p>
    <w:p w:rsidR="00EB6802" w:rsidRPr="001E6871" w:rsidRDefault="00EB6802" w:rsidP="00EB6802">
      <w:pPr>
        <w:pStyle w:val="Default"/>
        <w:jc w:val="both"/>
        <w:rPr>
          <w:rFonts w:asciiTheme="majorHAnsi" w:hAnsiTheme="majorHAnsi"/>
          <w:bCs/>
          <w:sz w:val="23"/>
          <w:szCs w:val="23"/>
        </w:rPr>
      </w:pPr>
      <w:r w:rsidRPr="001E6871">
        <w:rPr>
          <w:rFonts w:asciiTheme="majorHAnsi" w:hAnsiTheme="majorHAnsi"/>
          <w:bCs/>
          <w:sz w:val="23"/>
          <w:szCs w:val="23"/>
        </w:rPr>
        <w:t>U Dokumentaciji za nadmetanje mijenja se kako slijedi</w:t>
      </w:r>
    </w:p>
    <w:p w:rsidR="00EB6802" w:rsidRPr="001E6871" w:rsidRDefault="00EB6802" w:rsidP="00EB6802">
      <w:pPr>
        <w:pStyle w:val="Default"/>
        <w:jc w:val="both"/>
        <w:rPr>
          <w:rFonts w:asciiTheme="majorHAnsi" w:hAnsiTheme="majorHAnsi"/>
          <w:bCs/>
          <w:sz w:val="23"/>
          <w:szCs w:val="23"/>
        </w:rPr>
      </w:pPr>
    </w:p>
    <w:p w:rsidR="00EB6802" w:rsidRPr="001E6871" w:rsidRDefault="00EB6802" w:rsidP="00EB6802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  <w:r w:rsidRPr="001E6871">
        <w:rPr>
          <w:rFonts w:asciiTheme="majorHAnsi" w:hAnsiTheme="majorHAnsi"/>
          <w:b/>
          <w:bCs/>
          <w:sz w:val="23"/>
          <w:szCs w:val="23"/>
        </w:rPr>
        <w:t>I. U prilogu III. Troškovnik (Prilog III.)</w:t>
      </w:r>
      <w:r w:rsidRPr="001E6871">
        <w:rPr>
          <w:rFonts w:asciiTheme="majorHAnsi" w:hAnsiTheme="majorHAnsi"/>
          <w:bCs/>
          <w:sz w:val="23"/>
          <w:szCs w:val="23"/>
        </w:rPr>
        <w:t xml:space="preserve">  u stavci 13. pod nazivom Sredstvo za čišćenje pećnice mijenja se tekst opisa artikla koji sada glasi:</w:t>
      </w:r>
      <w:r w:rsidRPr="001E6871">
        <w:rPr>
          <w:rFonts w:asciiTheme="majorHAnsi" w:hAnsiTheme="majorHAnsi"/>
          <w:b/>
          <w:bCs/>
          <w:sz w:val="23"/>
          <w:szCs w:val="23"/>
        </w:rPr>
        <w:t xml:space="preserve"> „Sredstvo za čišćenje pećnica, 500 ml“. </w:t>
      </w:r>
      <w:r w:rsidRPr="001E6871">
        <w:rPr>
          <w:rFonts w:asciiTheme="majorHAnsi" w:hAnsiTheme="majorHAnsi"/>
          <w:bCs/>
          <w:sz w:val="23"/>
          <w:szCs w:val="23"/>
        </w:rPr>
        <w:t>U ovoj izmjeni usklađuje se opis artikla  sa nazivom artikla.</w:t>
      </w:r>
    </w:p>
    <w:p w:rsidR="00E316A5" w:rsidRPr="001E6871" w:rsidRDefault="00E316A5" w:rsidP="00875753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690F97" w:rsidRPr="001E6871" w:rsidRDefault="00EB6802" w:rsidP="00EB6802">
      <w:pPr>
        <w:pStyle w:val="Heading1"/>
        <w:numPr>
          <w:ilvl w:val="0"/>
          <w:numId w:val="0"/>
        </w:numPr>
        <w:spacing w:line="240" w:lineRule="auto"/>
        <w:ind w:left="432" w:hanging="432"/>
        <w:rPr>
          <w:rFonts w:asciiTheme="majorHAnsi" w:hAnsiTheme="majorHAnsi"/>
          <w:b w:val="0"/>
          <w:bCs w:val="0"/>
          <w:sz w:val="23"/>
          <w:szCs w:val="23"/>
        </w:rPr>
      </w:pPr>
      <w:r w:rsidRPr="001E6871">
        <w:rPr>
          <w:rFonts w:asciiTheme="majorHAnsi" w:hAnsiTheme="majorHAnsi"/>
          <w:bCs w:val="0"/>
          <w:sz w:val="23"/>
          <w:szCs w:val="23"/>
        </w:rPr>
        <w:t xml:space="preserve">II. </w:t>
      </w:r>
      <w:r w:rsidR="00581776" w:rsidRPr="001E6871">
        <w:rPr>
          <w:rFonts w:asciiTheme="majorHAnsi" w:hAnsiTheme="majorHAnsi"/>
          <w:bCs w:val="0"/>
          <w:sz w:val="23"/>
          <w:szCs w:val="23"/>
        </w:rPr>
        <w:t>U Dokumentaciji za nadmetanje</w:t>
      </w:r>
      <w:r w:rsidR="00264CAB" w:rsidRPr="001E6871">
        <w:rPr>
          <w:rFonts w:asciiTheme="majorHAnsi" w:hAnsiTheme="majorHAnsi"/>
          <w:bCs w:val="0"/>
          <w:sz w:val="23"/>
          <w:szCs w:val="23"/>
        </w:rPr>
        <w:t xml:space="preserve"> u</w:t>
      </w:r>
      <w:r w:rsidR="00581776" w:rsidRPr="001E6871">
        <w:rPr>
          <w:rFonts w:asciiTheme="majorHAnsi" w:hAnsiTheme="majorHAnsi"/>
          <w:bCs w:val="0"/>
          <w:sz w:val="23"/>
          <w:szCs w:val="23"/>
        </w:rPr>
        <w:t xml:space="preserve"> </w:t>
      </w:r>
      <w:r w:rsidR="00264CAB" w:rsidRPr="001E6871">
        <w:rPr>
          <w:rFonts w:asciiTheme="majorHAnsi" w:hAnsiTheme="majorHAnsi"/>
          <w:bCs w:val="0"/>
          <w:sz w:val="23"/>
          <w:szCs w:val="23"/>
        </w:rPr>
        <w:t>točki</w:t>
      </w:r>
      <w:r w:rsidR="00581776" w:rsidRPr="001E6871">
        <w:rPr>
          <w:rFonts w:asciiTheme="majorHAnsi" w:hAnsiTheme="majorHAnsi"/>
          <w:bCs w:val="0"/>
          <w:sz w:val="23"/>
          <w:szCs w:val="23"/>
        </w:rPr>
        <w:t xml:space="preserve"> 5.1. Sadržaj i način izrade ponude</w:t>
      </w:r>
      <w:r w:rsidR="00581776" w:rsidRPr="001E6871">
        <w:rPr>
          <w:rFonts w:asciiTheme="majorHAnsi" w:hAnsiTheme="majorHAnsi"/>
          <w:b w:val="0"/>
          <w:bCs w:val="0"/>
          <w:sz w:val="23"/>
          <w:szCs w:val="23"/>
        </w:rPr>
        <w:t xml:space="preserve"> </w:t>
      </w:r>
      <w:r w:rsidR="00690F97" w:rsidRPr="001E6871">
        <w:rPr>
          <w:rFonts w:asciiTheme="majorHAnsi" w:hAnsiTheme="majorHAnsi"/>
          <w:b w:val="0"/>
          <w:bCs w:val="0"/>
          <w:sz w:val="23"/>
          <w:szCs w:val="23"/>
        </w:rPr>
        <w:t>mijenja</w:t>
      </w:r>
      <w:r w:rsidR="00264CAB" w:rsidRPr="001E6871">
        <w:rPr>
          <w:rFonts w:asciiTheme="majorHAnsi" w:hAnsiTheme="majorHAnsi"/>
          <w:b w:val="0"/>
          <w:bCs w:val="0"/>
          <w:sz w:val="23"/>
          <w:szCs w:val="23"/>
        </w:rPr>
        <w:t>ju se podtočke od 1. do 14. tako da sada glase</w:t>
      </w:r>
      <w:r w:rsidR="00690F97" w:rsidRPr="001E6871">
        <w:rPr>
          <w:rFonts w:asciiTheme="majorHAnsi" w:hAnsiTheme="majorHAnsi"/>
          <w:b w:val="0"/>
          <w:bCs w:val="0"/>
          <w:sz w:val="23"/>
          <w:szCs w:val="23"/>
        </w:rPr>
        <w:t>:</w:t>
      </w:r>
    </w:p>
    <w:p w:rsidR="00690F97" w:rsidRPr="001E6871" w:rsidRDefault="00690F97" w:rsidP="00993A6D">
      <w:pPr>
        <w:pStyle w:val="ListParagraph"/>
        <w:numPr>
          <w:ilvl w:val="0"/>
          <w:numId w:val="4"/>
        </w:numPr>
        <w:rPr>
          <w:rFonts w:asciiTheme="majorHAnsi" w:hAnsiTheme="majorHAnsi" w:cstheme="minorHAnsi"/>
          <w:color w:val="auto"/>
          <w:sz w:val="23"/>
          <w:szCs w:val="23"/>
        </w:rPr>
      </w:pPr>
      <w:r w:rsidRPr="001E6871">
        <w:rPr>
          <w:rFonts w:asciiTheme="majorHAnsi" w:hAnsiTheme="majorHAnsi" w:cstheme="minorHAnsi"/>
          <w:sz w:val="23"/>
          <w:szCs w:val="23"/>
        </w:rPr>
        <w:t xml:space="preserve"> </w:t>
      </w:r>
      <w:r w:rsidRPr="001E6871">
        <w:rPr>
          <w:rFonts w:asciiTheme="majorHAnsi" w:hAnsiTheme="majorHAnsi" w:cstheme="minorHAnsi"/>
          <w:color w:val="auto"/>
          <w:sz w:val="23"/>
          <w:szCs w:val="23"/>
        </w:rPr>
        <w:t>Ponudbeni list popunjen, potpisan i ovjeren od strane osobe po zakonu ovlaštene za zastupanje - obrazac u prilogu (Prilog I.);</w:t>
      </w:r>
    </w:p>
    <w:p w:rsidR="00690F97" w:rsidRPr="001E6871" w:rsidRDefault="00690F97" w:rsidP="00690F97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theme="minorHAnsi"/>
          <w:color w:val="auto"/>
          <w:sz w:val="23"/>
          <w:szCs w:val="23"/>
        </w:rPr>
      </w:pPr>
      <w:r w:rsidRPr="001E6871">
        <w:rPr>
          <w:rFonts w:asciiTheme="majorHAnsi" w:hAnsiTheme="majorHAnsi" w:cstheme="minorHAnsi"/>
          <w:color w:val="auto"/>
          <w:sz w:val="23"/>
          <w:szCs w:val="23"/>
        </w:rPr>
        <w:t>Izjavu o nepostojanju razloga za isključenje popunjena, potpisana i ovjerena od strane osobe po zakonu ovlaštene za zastupanje - (Prilog II.);</w:t>
      </w:r>
    </w:p>
    <w:p w:rsidR="00690F97" w:rsidRPr="001E6871" w:rsidRDefault="00690F97" w:rsidP="00690F97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theme="minorHAnsi"/>
          <w:color w:val="auto"/>
          <w:sz w:val="23"/>
          <w:szCs w:val="23"/>
        </w:rPr>
      </w:pPr>
      <w:r w:rsidRPr="001E6871">
        <w:rPr>
          <w:rFonts w:asciiTheme="majorHAnsi" w:hAnsiTheme="majorHAnsi" w:cstheme="minorHAnsi"/>
          <w:color w:val="auto"/>
          <w:sz w:val="23"/>
          <w:szCs w:val="23"/>
        </w:rPr>
        <w:t>Ponudbeni troškovnik popunjen, potpisan i ovjeren od strane osobe po zakonu ovlaštene za zastupanje - (Prilog III.);</w:t>
      </w:r>
    </w:p>
    <w:p w:rsidR="00690F97" w:rsidRPr="001E6871" w:rsidRDefault="00690F97" w:rsidP="00690F97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theme="minorHAnsi"/>
          <w:color w:val="auto"/>
          <w:sz w:val="23"/>
          <w:szCs w:val="23"/>
        </w:rPr>
      </w:pPr>
      <w:r w:rsidRPr="001E6871">
        <w:rPr>
          <w:rFonts w:asciiTheme="majorHAnsi" w:hAnsiTheme="majorHAnsi" w:cstheme="minorHAnsi"/>
          <w:color w:val="auto"/>
          <w:sz w:val="23"/>
          <w:szCs w:val="23"/>
        </w:rPr>
        <w:t>Izjavu o prihvaćanju uvjeta iz Dokumentacije za nadmetanje popunjenu (Prilog IV.), potpisanu i ovjerenu od strane osobe po zakonu ovlaštene za zastupanje zakonu i ovjereno pečatom Ponuditelja,</w:t>
      </w:r>
    </w:p>
    <w:p w:rsidR="00690F97" w:rsidRPr="001E6871" w:rsidRDefault="00690F97" w:rsidP="00690F97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theme="minorHAnsi"/>
          <w:color w:val="auto"/>
          <w:sz w:val="23"/>
          <w:szCs w:val="23"/>
        </w:rPr>
      </w:pPr>
      <w:r w:rsidRPr="001E6871">
        <w:rPr>
          <w:rFonts w:asciiTheme="majorHAnsi" w:hAnsiTheme="majorHAnsi" w:cstheme="minorHAnsi"/>
          <w:color w:val="auto"/>
          <w:sz w:val="23"/>
          <w:szCs w:val="23"/>
        </w:rPr>
        <w:t>Izjavu o roku isporuke potpisanu od strane osobe ovlaštene za zastupanje (Prilog V.)</w:t>
      </w:r>
    </w:p>
    <w:p w:rsidR="00690F97" w:rsidRPr="001E6871" w:rsidRDefault="00690F97" w:rsidP="00690F97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theme="minorHAnsi"/>
          <w:color w:val="auto"/>
          <w:sz w:val="23"/>
          <w:szCs w:val="23"/>
        </w:rPr>
      </w:pPr>
      <w:r w:rsidRPr="001E6871">
        <w:rPr>
          <w:rFonts w:asciiTheme="majorHAnsi" w:hAnsiTheme="majorHAnsi" w:cstheme="minorHAnsi"/>
          <w:color w:val="auto"/>
          <w:sz w:val="23"/>
          <w:szCs w:val="23"/>
        </w:rPr>
        <w:t>Potpisan Prijedlog Ugovora o nabavi robe u znak pristajanja na uvjete ugovora (Prilog VI.)</w:t>
      </w:r>
    </w:p>
    <w:p w:rsidR="00690F97" w:rsidRPr="001E6871" w:rsidRDefault="00690F97" w:rsidP="00690F97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theme="minorHAnsi"/>
          <w:color w:val="auto"/>
          <w:sz w:val="23"/>
          <w:szCs w:val="23"/>
        </w:rPr>
      </w:pPr>
      <w:r w:rsidRPr="001E6871">
        <w:rPr>
          <w:rFonts w:asciiTheme="majorHAnsi" w:hAnsiTheme="majorHAnsi" w:cstheme="minorHAnsi"/>
          <w:color w:val="auto"/>
          <w:sz w:val="23"/>
          <w:szCs w:val="23"/>
        </w:rPr>
        <w:t>Podaci o članovima zajednice Ponuditelja popunjeni, potpisani i ovjereni od strane član</w:t>
      </w:r>
      <w:r w:rsidR="009B11BA" w:rsidRPr="001E6871">
        <w:rPr>
          <w:rFonts w:asciiTheme="majorHAnsi" w:hAnsiTheme="majorHAnsi" w:cstheme="minorHAnsi"/>
          <w:color w:val="auto"/>
          <w:sz w:val="23"/>
          <w:szCs w:val="23"/>
        </w:rPr>
        <w:t>ov</w:t>
      </w:r>
      <w:r w:rsidRPr="001E6871">
        <w:rPr>
          <w:rFonts w:asciiTheme="majorHAnsi" w:hAnsiTheme="majorHAnsi" w:cstheme="minorHAnsi"/>
          <w:color w:val="auto"/>
          <w:sz w:val="23"/>
          <w:szCs w:val="23"/>
        </w:rPr>
        <w:t>a</w:t>
      </w:r>
      <w:r w:rsidR="009B11BA" w:rsidRPr="001E6871">
        <w:rPr>
          <w:rFonts w:asciiTheme="majorHAnsi" w:hAnsiTheme="majorHAnsi" w:cstheme="minorHAnsi"/>
          <w:color w:val="auto"/>
          <w:sz w:val="23"/>
          <w:szCs w:val="23"/>
        </w:rPr>
        <w:t xml:space="preserve">, </w:t>
      </w:r>
      <w:r w:rsidRPr="001E6871">
        <w:rPr>
          <w:rFonts w:asciiTheme="majorHAnsi" w:hAnsiTheme="majorHAnsi" w:cstheme="minorHAnsi"/>
          <w:color w:val="auto"/>
          <w:sz w:val="23"/>
          <w:szCs w:val="23"/>
        </w:rPr>
        <w:t xml:space="preserve">ako je primjenjivo - obrazac u prilogu VII.a. </w:t>
      </w:r>
    </w:p>
    <w:p w:rsidR="00690F97" w:rsidRPr="001E6871" w:rsidRDefault="00690F97" w:rsidP="00690F97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theme="minorHAnsi"/>
          <w:color w:val="auto"/>
          <w:sz w:val="23"/>
          <w:szCs w:val="23"/>
        </w:rPr>
      </w:pPr>
      <w:r w:rsidRPr="001E6871">
        <w:rPr>
          <w:rFonts w:asciiTheme="majorHAnsi" w:hAnsiTheme="majorHAnsi" w:cstheme="minorHAnsi"/>
          <w:color w:val="auto"/>
          <w:sz w:val="23"/>
          <w:szCs w:val="23"/>
        </w:rPr>
        <w:t xml:space="preserve">Izjava o zajedničkoj ponudi popunjena, potpisana i ovjerena od strane svih članova zajednice Ponuditelja ako je primjenjivo - obrazac u prilogu VII.b. </w:t>
      </w:r>
    </w:p>
    <w:p w:rsidR="00690F97" w:rsidRPr="001E6871" w:rsidRDefault="00690F97" w:rsidP="00690F97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theme="minorHAnsi"/>
          <w:color w:val="auto"/>
          <w:sz w:val="23"/>
          <w:szCs w:val="23"/>
        </w:rPr>
      </w:pPr>
      <w:r w:rsidRPr="001E6871">
        <w:rPr>
          <w:rFonts w:asciiTheme="majorHAnsi" w:hAnsiTheme="majorHAnsi" w:cstheme="minorHAnsi"/>
          <w:color w:val="auto"/>
          <w:sz w:val="23"/>
          <w:szCs w:val="23"/>
        </w:rPr>
        <w:t xml:space="preserve">Izjava o solidarnoj odgovornosti zajedničkih Ponuditelja popunjena, potpisana i ovjerena od strane osoba po zakonu ovlaštenih za zastupanje ako je primjenjivo - obrazac u prilogu VII.c. </w:t>
      </w:r>
    </w:p>
    <w:p w:rsidR="00690F97" w:rsidRPr="001E6871" w:rsidRDefault="00690F97" w:rsidP="00690F97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theme="minorHAnsi"/>
          <w:color w:val="auto"/>
          <w:sz w:val="23"/>
          <w:szCs w:val="23"/>
        </w:rPr>
      </w:pPr>
      <w:r w:rsidRPr="001E6871">
        <w:rPr>
          <w:rFonts w:asciiTheme="majorHAnsi" w:hAnsiTheme="majorHAnsi" w:cstheme="minorHAnsi"/>
          <w:color w:val="auto"/>
          <w:sz w:val="23"/>
          <w:szCs w:val="23"/>
        </w:rPr>
        <w:t>Izjava o dostavi uzoraka potpisanu od strane osobe ovlaštene za zastupanje (Prilog VIII.)</w:t>
      </w:r>
    </w:p>
    <w:p w:rsidR="00690F97" w:rsidRPr="001E6871" w:rsidRDefault="00690F97" w:rsidP="00690F97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theme="minorHAnsi"/>
          <w:color w:val="auto"/>
          <w:sz w:val="23"/>
          <w:szCs w:val="23"/>
        </w:rPr>
      </w:pPr>
      <w:r w:rsidRPr="001E6871">
        <w:rPr>
          <w:rFonts w:asciiTheme="majorHAnsi" w:hAnsiTheme="majorHAnsi" w:cstheme="minorHAnsi"/>
          <w:color w:val="auto"/>
          <w:sz w:val="23"/>
          <w:szCs w:val="23"/>
        </w:rPr>
        <w:t>Izjava o broju i vrsti vozila potpisanu od strane osobe ovlaštene za zastupanje (Prilog IX.)</w:t>
      </w:r>
    </w:p>
    <w:p w:rsidR="00690F97" w:rsidRPr="001E6871" w:rsidRDefault="00690F97" w:rsidP="00690F97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theme="minorHAnsi"/>
          <w:color w:val="auto"/>
          <w:sz w:val="23"/>
          <w:szCs w:val="23"/>
        </w:rPr>
      </w:pPr>
      <w:r w:rsidRPr="001E6871">
        <w:rPr>
          <w:rFonts w:asciiTheme="majorHAnsi" w:hAnsiTheme="majorHAnsi" w:cstheme="minorHAnsi"/>
          <w:color w:val="auto"/>
          <w:sz w:val="23"/>
          <w:szCs w:val="23"/>
        </w:rPr>
        <w:t>Tražene dokaze o pravnoj i poslovnoj sposobnosti, financijskoj sposobnosti, te tehničkoj i stručnoj sposobnosti i ostale uvjete navedene u točkama 4.1., 4.2., 4.3. i 4.4.</w:t>
      </w:r>
    </w:p>
    <w:p w:rsidR="00690F97" w:rsidRPr="001E6871" w:rsidRDefault="00690F97" w:rsidP="00690F97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theme="minorHAnsi"/>
          <w:color w:val="auto"/>
          <w:sz w:val="23"/>
          <w:szCs w:val="23"/>
        </w:rPr>
      </w:pPr>
      <w:r w:rsidRPr="001E6871">
        <w:rPr>
          <w:rFonts w:asciiTheme="majorHAnsi" w:hAnsiTheme="majorHAnsi" w:cstheme="minorHAnsi"/>
          <w:color w:val="auto"/>
          <w:sz w:val="23"/>
          <w:szCs w:val="23"/>
        </w:rPr>
        <w:t>Jamstvo za ozbiljnost ponude kako je navedeno u točki 6.2.</w:t>
      </w:r>
      <w:r w:rsidR="007C02F0" w:rsidRPr="001E6871">
        <w:rPr>
          <w:rFonts w:asciiTheme="majorHAnsi" w:hAnsiTheme="majorHAnsi" w:cstheme="minorHAnsi"/>
          <w:color w:val="auto"/>
          <w:sz w:val="23"/>
          <w:szCs w:val="23"/>
        </w:rPr>
        <w:t>“</w:t>
      </w:r>
    </w:p>
    <w:p w:rsidR="00690F97" w:rsidRPr="001E6871" w:rsidRDefault="00690F97" w:rsidP="00581776">
      <w:pPr>
        <w:rPr>
          <w:rFonts w:asciiTheme="majorHAnsi" w:hAnsiTheme="majorHAnsi"/>
          <w:sz w:val="23"/>
          <w:szCs w:val="23"/>
          <w:lang w:eastAsia="en-US"/>
        </w:rPr>
      </w:pPr>
    </w:p>
    <w:p w:rsidR="00581776" w:rsidRPr="001E6871" w:rsidRDefault="00264CAB" w:rsidP="00581776">
      <w:pPr>
        <w:rPr>
          <w:rFonts w:asciiTheme="majorHAnsi" w:hAnsiTheme="majorHAnsi" w:cstheme="minorHAnsi"/>
          <w:sz w:val="23"/>
          <w:szCs w:val="23"/>
          <w:lang w:eastAsia="en-US"/>
        </w:rPr>
      </w:pPr>
      <w:r w:rsidRPr="001E6871">
        <w:rPr>
          <w:rFonts w:asciiTheme="majorHAnsi" w:hAnsiTheme="majorHAnsi" w:cstheme="minorHAnsi"/>
          <w:sz w:val="23"/>
          <w:szCs w:val="23"/>
          <w:lang w:eastAsia="en-US"/>
        </w:rPr>
        <w:t>U podtočkama 7., 8</w:t>
      </w:r>
      <w:r w:rsidR="007C02F0" w:rsidRPr="001E6871">
        <w:rPr>
          <w:rFonts w:asciiTheme="majorHAnsi" w:hAnsiTheme="majorHAnsi" w:cstheme="minorHAnsi"/>
          <w:sz w:val="23"/>
          <w:szCs w:val="23"/>
          <w:lang w:eastAsia="en-US"/>
        </w:rPr>
        <w:t xml:space="preserve">. i </w:t>
      </w:r>
      <w:r w:rsidRPr="001E6871">
        <w:rPr>
          <w:rFonts w:asciiTheme="majorHAnsi" w:hAnsiTheme="majorHAnsi" w:cstheme="minorHAnsi"/>
          <w:sz w:val="23"/>
          <w:szCs w:val="23"/>
          <w:lang w:eastAsia="en-US"/>
        </w:rPr>
        <w:t>9</w:t>
      </w:r>
      <w:r w:rsidR="007C02F0" w:rsidRPr="001E6871">
        <w:rPr>
          <w:rFonts w:asciiTheme="majorHAnsi" w:hAnsiTheme="majorHAnsi" w:cstheme="minorHAnsi"/>
          <w:sz w:val="23"/>
          <w:szCs w:val="23"/>
          <w:lang w:eastAsia="en-US"/>
        </w:rPr>
        <w:t xml:space="preserve">. </w:t>
      </w:r>
      <w:r w:rsidRPr="001E6871">
        <w:rPr>
          <w:rFonts w:asciiTheme="majorHAnsi" w:hAnsiTheme="majorHAnsi" w:cstheme="minorHAnsi"/>
          <w:sz w:val="23"/>
          <w:szCs w:val="23"/>
          <w:lang w:eastAsia="en-US"/>
        </w:rPr>
        <w:t>izm</w:t>
      </w:r>
      <w:r w:rsidR="007C02F0" w:rsidRPr="001E6871">
        <w:rPr>
          <w:rFonts w:asciiTheme="majorHAnsi" w:hAnsiTheme="majorHAnsi" w:cstheme="minorHAnsi"/>
          <w:sz w:val="23"/>
          <w:szCs w:val="23"/>
          <w:lang w:eastAsia="en-US"/>
        </w:rPr>
        <w:t xml:space="preserve">ijenjani su redni brojevi priloga, a ranija podtočka 10. </w:t>
      </w:r>
      <w:r w:rsidR="009B11BA" w:rsidRPr="001E6871">
        <w:rPr>
          <w:rFonts w:asciiTheme="majorHAnsi" w:hAnsiTheme="majorHAnsi" w:cstheme="minorHAnsi"/>
          <w:sz w:val="23"/>
          <w:szCs w:val="23"/>
          <w:lang w:eastAsia="en-US"/>
        </w:rPr>
        <w:t>j</w:t>
      </w:r>
      <w:r w:rsidR="007C02F0" w:rsidRPr="001E6871">
        <w:rPr>
          <w:rFonts w:asciiTheme="majorHAnsi" w:hAnsiTheme="majorHAnsi" w:cstheme="minorHAnsi"/>
          <w:sz w:val="23"/>
          <w:szCs w:val="23"/>
          <w:lang w:eastAsia="en-US"/>
        </w:rPr>
        <w:t>e brisana.</w:t>
      </w:r>
    </w:p>
    <w:p w:rsidR="007C02F0" w:rsidRPr="001E6871" w:rsidRDefault="007C02F0" w:rsidP="00581776">
      <w:pPr>
        <w:rPr>
          <w:rFonts w:asciiTheme="majorHAnsi" w:hAnsiTheme="majorHAnsi"/>
          <w:sz w:val="23"/>
          <w:szCs w:val="23"/>
          <w:lang w:eastAsia="en-US"/>
        </w:rPr>
      </w:pPr>
    </w:p>
    <w:p w:rsidR="00EB6802" w:rsidRPr="001E6871" w:rsidRDefault="007C02F0" w:rsidP="00EB6802">
      <w:pPr>
        <w:pStyle w:val="Heading1"/>
        <w:numPr>
          <w:ilvl w:val="0"/>
          <w:numId w:val="0"/>
        </w:numPr>
        <w:spacing w:line="240" w:lineRule="auto"/>
        <w:ind w:left="432" w:hanging="432"/>
        <w:rPr>
          <w:rFonts w:asciiTheme="majorHAnsi" w:hAnsiTheme="majorHAnsi"/>
          <w:b w:val="0"/>
          <w:sz w:val="23"/>
          <w:szCs w:val="23"/>
        </w:rPr>
      </w:pPr>
      <w:r w:rsidRPr="001E6871">
        <w:rPr>
          <w:rFonts w:asciiTheme="majorHAnsi" w:hAnsiTheme="majorHAnsi"/>
          <w:bCs w:val="0"/>
          <w:sz w:val="23"/>
          <w:szCs w:val="23"/>
        </w:rPr>
        <w:t xml:space="preserve">III. </w:t>
      </w:r>
      <w:r w:rsidR="00EB6802" w:rsidRPr="001E6871">
        <w:rPr>
          <w:rFonts w:asciiTheme="majorHAnsi" w:hAnsiTheme="majorHAnsi"/>
          <w:bCs w:val="0"/>
          <w:sz w:val="23"/>
          <w:szCs w:val="23"/>
        </w:rPr>
        <w:t xml:space="preserve">U Dokumentaciji za nadmetanje u točki </w:t>
      </w:r>
      <w:bookmarkStart w:id="0" w:name="_Toc519074467"/>
      <w:r w:rsidR="00EB6802" w:rsidRPr="001E6871">
        <w:rPr>
          <w:rFonts w:asciiTheme="majorHAnsi" w:hAnsiTheme="majorHAnsi"/>
          <w:bCs w:val="0"/>
          <w:sz w:val="23"/>
          <w:szCs w:val="23"/>
        </w:rPr>
        <w:t xml:space="preserve">7. </w:t>
      </w:r>
      <w:r w:rsidR="00EB6802" w:rsidRPr="001E6871">
        <w:rPr>
          <w:rFonts w:asciiTheme="majorHAnsi" w:hAnsiTheme="majorHAnsi"/>
          <w:sz w:val="23"/>
          <w:szCs w:val="23"/>
        </w:rPr>
        <w:t>PRILOZI</w:t>
      </w:r>
      <w:bookmarkEnd w:id="0"/>
      <w:r w:rsidR="00EB6802" w:rsidRPr="001E6871">
        <w:rPr>
          <w:rFonts w:asciiTheme="majorHAnsi" w:hAnsiTheme="majorHAnsi"/>
          <w:b w:val="0"/>
          <w:sz w:val="23"/>
          <w:szCs w:val="23"/>
        </w:rPr>
        <w:t xml:space="preserve"> mijenjaju se redni brojevi priloga slijedom čega novi tekst točke 7. glasi: </w:t>
      </w:r>
    </w:p>
    <w:p w:rsidR="00EB6802" w:rsidRPr="001E6871" w:rsidRDefault="00EB6802" w:rsidP="00EB6802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  <w:color w:val="auto"/>
          <w:sz w:val="23"/>
          <w:szCs w:val="23"/>
        </w:rPr>
      </w:pPr>
      <w:r w:rsidRPr="001E6871">
        <w:rPr>
          <w:rFonts w:asciiTheme="majorHAnsi" w:hAnsiTheme="majorHAnsi"/>
          <w:color w:val="auto"/>
          <w:sz w:val="23"/>
          <w:szCs w:val="23"/>
        </w:rPr>
        <w:t>Prilog I: Ponudbeni list</w:t>
      </w:r>
    </w:p>
    <w:p w:rsidR="00581776" w:rsidRPr="001E6871" w:rsidRDefault="00581776" w:rsidP="00581776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color w:val="auto"/>
          <w:sz w:val="23"/>
          <w:szCs w:val="23"/>
        </w:rPr>
      </w:pPr>
      <w:r w:rsidRPr="001E6871">
        <w:rPr>
          <w:rFonts w:asciiTheme="majorHAnsi" w:hAnsiTheme="majorHAnsi"/>
          <w:color w:val="auto"/>
          <w:sz w:val="23"/>
          <w:szCs w:val="23"/>
        </w:rPr>
        <w:t xml:space="preserve">Prilog </w:t>
      </w:r>
      <w:r w:rsidR="00690F97" w:rsidRPr="001E6871">
        <w:rPr>
          <w:rFonts w:asciiTheme="majorHAnsi" w:hAnsiTheme="majorHAnsi"/>
          <w:color w:val="auto"/>
          <w:sz w:val="23"/>
          <w:szCs w:val="23"/>
        </w:rPr>
        <w:t>II</w:t>
      </w:r>
      <w:r w:rsidRPr="001E6871">
        <w:rPr>
          <w:rFonts w:asciiTheme="majorHAnsi" w:hAnsiTheme="majorHAnsi"/>
          <w:color w:val="auto"/>
          <w:sz w:val="23"/>
          <w:szCs w:val="23"/>
        </w:rPr>
        <w:t>: Izjava o nepostojanju razloga za isključenje ponuditelja</w:t>
      </w:r>
    </w:p>
    <w:p w:rsidR="00EB6802" w:rsidRPr="001E6871" w:rsidRDefault="00EB6802" w:rsidP="00EB6802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color w:val="auto"/>
          <w:sz w:val="23"/>
          <w:szCs w:val="23"/>
        </w:rPr>
      </w:pPr>
      <w:r w:rsidRPr="001E6871">
        <w:rPr>
          <w:rFonts w:asciiTheme="majorHAnsi" w:hAnsiTheme="majorHAnsi"/>
          <w:color w:val="auto"/>
          <w:sz w:val="23"/>
          <w:szCs w:val="23"/>
        </w:rPr>
        <w:lastRenderedPageBreak/>
        <w:t>Prilog I</w:t>
      </w:r>
      <w:r w:rsidR="003D3F12" w:rsidRPr="001E6871">
        <w:rPr>
          <w:rFonts w:asciiTheme="majorHAnsi" w:hAnsiTheme="majorHAnsi"/>
          <w:color w:val="auto"/>
          <w:sz w:val="23"/>
          <w:szCs w:val="23"/>
        </w:rPr>
        <w:t>II</w:t>
      </w:r>
      <w:r w:rsidRPr="001E6871">
        <w:rPr>
          <w:rFonts w:asciiTheme="majorHAnsi" w:hAnsiTheme="majorHAnsi"/>
          <w:color w:val="auto"/>
          <w:sz w:val="23"/>
          <w:szCs w:val="23"/>
        </w:rPr>
        <w:t>: Troškovnik - tablica excel</w:t>
      </w:r>
    </w:p>
    <w:p w:rsidR="00EB6802" w:rsidRPr="001E6871" w:rsidRDefault="00EB6802" w:rsidP="00EB6802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color w:val="auto"/>
          <w:sz w:val="23"/>
          <w:szCs w:val="23"/>
        </w:rPr>
      </w:pPr>
      <w:r w:rsidRPr="001E6871">
        <w:rPr>
          <w:rFonts w:asciiTheme="majorHAnsi" w:hAnsiTheme="majorHAnsi"/>
          <w:color w:val="auto"/>
          <w:sz w:val="23"/>
          <w:szCs w:val="23"/>
        </w:rPr>
        <w:t xml:space="preserve">Prilog </w:t>
      </w:r>
      <w:r w:rsidR="00690F97" w:rsidRPr="001E6871">
        <w:rPr>
          <w:rFonts w:asciiTheme="majorHAnsi" w:hAnsiTheme="majorHAnsi"/>
          <w:color w:val="auto"/>
          <w:sz w:val="23"/>
          <w:szCs w:val="23"/>
        </w:rPr>
        <w:t>I</w:t>
      </w:r>
      <w:r w:rsidRPr="001E6871">
        <w:rPr>
          <w:rFonts w:asciiTheme="majorHAnsi" w:hAnsiTheme="majorHAnsi"/>
          <w:color w:val="auto"/>
          <w:sz w:val="23"/>
          <w:szCs w:val="23"/>
        </w:rPr>
        <w:t xml:space="preserve">V: Izjava o prihvaćanju uvjeta iz Dokumentacije za nadmetanje </w:t>
      </w:r>
    </w:p>
    <w:p w:rsidR="00581776" w:rsidRPr="001E6871" w:rsidRDefault="00581776" w:rsidP="00581776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color w:val="auto"/>
          <w:sz w:val="23"/>
          <w:szCs w:val="23"/>
        </w:rPr>
      </w:pPr>
      <w:r w:rsidRPr="001E6871">
        <w:rPr>
          <w:rFonts w:asciiTheme="majorHAnsi" w:hAnsiTheme="majorHAnsi"/>
          <w:color w:val="auto"/>
          <w:sz w:val="23"/>
          <w:szCs w:val="23"/>
        </w:rPr>
        <w:t>Prilog V: Izjava o roku isporuke</w:t>
      </w:r>
    </w:p>
    <w:p w:rsidR="00690F97" w:rsidRPr="001E6871" w:rsidRDefault="00690F97" w:rsidP="00690F97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color w:val="auto"/>
          <w:sz w:val="23"/>
          <w:szCs w:val="23"/>
        </w:rPr>
      </w:pPr>
      <w:r w:rsidRPr="001E6871">
        <w:rPr>
          <w:rFonts w:asciiTheme="majorHAnsi" w:hAnsiTheme="majorHAnsi"/>
          <w:color w:val="auto"/>
          <w:sz w:val="23"/>
          <w:szCs w:val="23"/>
        </w:rPr>
        <w:t>Prilog VI: Prijedlog Ugovora o nabavi</w:t>
      </w:r>
    </w:p>
    <w:p w:rsidR="00581776" w:rsidRPr="001E6871" w:rsidRDefault="00581776" w:rsidP="00581776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color w:val="auto"/>
          <w:sz w:val="23"/>
          <w:szCs w:val="23"/>
        </w:rPr>
      </w:pPr>
      <w:r w:rsidRPr="001E6871">
        <w:rPr>
          <w:rFonts w:asciiTheme="majorHAnsi" w:hAnsiTheme="majorHAnsi"/>
          <w:color w:val="auto"/>
          <w:sz w:val="23"/>
          <w:szCs w:val="23"/>
        </w:rPr>
        <w:t>Prilo</w:t>
      </w:r>
      <w:r w:rsidR="00690F97" w:rsidRPr="001E6871">
        <w:rPr>
          <w:rFonts w:asciiTheme="majorHAnsi" w:hAnsiTheme="majorHAnsi"/>
          <w:color w:val="auto"/>
          <w:sz w:val="23"/>
          <w:szCs w:val="23"/>
        </w:rPr>
        <w:t>zi V</w:t>
      </w:r>
      <w:r w:rsidRPr="001E6871">
        <w:rPr>
          <w:rFonts w:asciiTheme="majorHAnsi" w:hAnsiTheme="majorHAnsi"/>
          <w:color w:val="auto"/>
          <w:sz w:val="23"/>
          <w:szCs w:val="23"/>
        </w:rPr>
        <w:t>II</w:t>
      </w:r>
      <w:r w:rsidR="00690F97" w:rsidRPr="001E6871">
        <w:rPr>
          <w:rFonts w:asciiTheme="majorHAnsi" w:hAnsiTheme="majorHAnsi"/>
          <w:color w:val="auto"/>
          <w:sz w:val="23"/>
          <w:szCs w:val="23"/>
        </w:rPr>
        <w:t>.a, VII.b i VII.c</w:t>
      </w:r>
      <w:r w:rsidRPr="001E6871">
        <w:rPr>
          <w:rFonts w:asciiTheme="majorHAnsi" w:hAnsiTheme="majorHAnsi"/>
          <w:color w:val="auto"/>
          <w:sz w:val="23"/>
          <w:szCs w:val="23"/>
        </w:rPr>
        <w:t xml:space="preserve">: </w:t>
      </w:r>
      <w:r w:rsidR="00690F97" w:rsidRPr="001E6871">
        <w:rPr>
          <w:rFonts w:asciiTheme="majorHAnsi" w:hAnsiTheme="majorHAnsi"/>
          <w:color w:val="auto"/>
          <w:sz w:val="23"/>
          <w:szCs w:val="23"/>
        </w:rPr>
        <w:t>Obrasci za zajednicu ponuditelja</w:t>
      </w:r>
      <w:r w:rsidRPr="001E6871">
        <w:rPr>
          <w:rFonts w:asciiTheme="majorHAnsi" w:hAnsiTheme="majorHAnsi"/>
          <w:color w:val="auto"/>
          <w:sz w:val="23"/>
          <w:szCs w:val="23"/>
        </w:rPr>
        <w:t xml:space="preserve"> </w:t>
      </w:r>
    </w:p>
    <w:p w:rsidR="00EB6802" w:rsidRPr="001E6871" w:rsidRDefault="00EB6802" w:rsidP="00EB6802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color w:val="auto"/>
          <w:sz w:val="23"/>
          <w:szCs w:val="23"/>
        </w:rPr>
      </w:pPr>
      <w:r w:rsidRPr="001E6871">
        <w:rPr>
          <w:rFonts w:asciiTheme="majorHAnsi" w:hAnsiTheme="majorHAnsi"/>
          <w:color w:val="auto"/>
          <w:sz w:val="23"/>
          <w:szCs w:val="23"/>
        </w:rPr>
        <w:t>Prilog VIII: Izjava o dostavi uzoraka</w:t>
      </w:r>
    </w:p>
    <w:p w:rsidR="00EB6802" w:rsidRPr="001E6871" w:rsidRDefault="00EB6802" w:rsidP="00EB6802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color w:val="auto"/>
          <w:sz w:val="23"/>
          <w:szCs w:val="23"/>
        </w:rPr>
      </w:pPr>
      <w:r w:rsidRPr="001E6871">
        <w:rPr>
          <w:rFonts w:asciiTheme="majorHAnsi" w:hAnsiTheme="majorHAnsi"/>
          <w:color w:val="auto"/>
          <w:sz w:val="23"/>
          <w:szCs w:val="23"/>
        </w:rPr>
        <w:t>Prilog IX:</w:t>
      </w:r>
      <w:r w:rsidR="003D3F12" w:rsidRPr="001E6871">
        <w:rPr>
          <w:rFonts w:asciiTheme="majorHAnsi" w:hAnsiTheme="majorHAnsi"/>
          <w:color w:val="auto"/>
          <w:sz w:val="23"/>
          <w:szCs w:val="23"/>
        </w:rPr>
        <w:t xml:space="preserve"> </w:t>
      </w:r>
      <w:r w:rsidRPr="001E6871">
        <w:rPr>
          <w:rFonts w:asciiTheme="majorHAnsi" w:hAnsiTheme="majorHAnsi"/>
          <w:color w:val="auto"/>
          <w:sz w:val="23"/>
          <w:szCs w:val="23"/>
        </w:rPr>
        <w:t>Izjava o broju i vrsti vozila</w:t>
      </w:r>
    </w:p>
    <w:p w:rsidR="00EB6802" w:rsidRPr="001E6871" w:rsidRDefault="00EB6802" w:rsidP="00EB6802">
      <w:pPr>
        <w:pStyle w:val="ListParagraph"/>
        <w:numPr>
          <w:ilvl w:val="0"/>
          <w:numId w:val="0"/>
        </w:numPr>
        <w:spacing w:line="240" w:lineRule="auto"/>
        <w:ind w:left="720"/>
        <w:rPr>
          <w:rFonts w:asciiTheme="majorHAnsi" w:hAnsiTheme="majorHAnsi"/>
          <w:color w:val="auto"/>
          <w:sz w:val="23"/>
          <w:szCs w:val="23"/>
        </w:rPr>
      </w:pPr>
    </w:p>
    <w:p w:rsidR="00EB6802" w:rsidRPr="001E6871" w:rsidRDefault="003D3F12" w:rsidP="00EB6802">
      <w:pPr>
        <w:pStyle w:val="Default"/>
        <w:jc w:val="both"/>
        <w:rPr>
          <w:rFonts w:asciiTheme="majorHAnsi" w:hAnsiTheme="majorHAnsi"/>
          <w:bCs/>
          <w:sz w:val="23"/>
          <w:szCs w:val="23"/>
        </w:rPr>
      </w:pPr>
      <w:r w:rsidRPr="001E6871">
        <w:rPr>
          <w:rFonts w:asciiTheme="majorHAnsi" w:hAnsiTheme="majorHAnsi"/>
          <w:bCs/>
          <w:sz w:val="23"/>
          <w:szCs w:val="23"/>
        </w:rPr>
        <w:t>Slijedom navedene izmjene točke 7.</w:t>
      </w:r>
      <w:r w:rsidR="00EB6802" w:rsidRPr="001E6871">
        <w:rPr>
          <w:rFonts w:asciiTheme="majorHAnsi" w:hAnsiTheme="majorHAnsi"/>
          <w:bCs/>
          <w:sz w:val="23"/>
          <w:szCs w:val="23"/>
        </w:rPr>
        <w:t xml:space="preserve"> izmijenjeni su redni brojevi priloga u Dokumentaciji za nadmetanje.</w:t>
      </w:r>
    </w:p>
    <w:p w:rsidR="00EB6802" w:rsidRPr="001E6871" w:rsidRDefault="00EB6802" w:rsidP="00EB6802">
      <w:pPr>
        <w:pStyle w:val="Default"/>
        <w:jc w:val="both"/>
        <w:rPr>
          <w:rFonts w:asciiTheme="majorHAnsi" w:hAnsiTheme="majorHAnsi"/>
          <w:bCs/>
          <w:sz w:val="23"/>
          <w:szCs w:val="23"/>
        </w:rPr>
      </w:pPr>
    </w:p>
    <w:p w:rsidR="00D242AE" w:rsidRPr="001E6871" w:rsidRDefault="00D242AE" w:rsidP="00875753">
      <w:pPr>
        <w:jc w:val="both"/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</w:pPr>
      <w:r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 xml:space="preserve">IV.  </w:t>
      </w:r>
      <w:r w:rsidRPr="001E6871">
        <w:rPr>
          <w:rFonts w:asciiTheme="majorHAnsi" w:eastAsiaTheme="minorHAnsi" w:hAnsiTheme="majorHAnsi" w:cs="Arial"/>
          <w:b/>
          <w:color w:val="000000"/>
          <w:sz w:val="23"/>
          <w:szCs w:val="23"/>
          <w:lang w:eastAsia="en-US"/>
        </w:rPr>
        <w:t>U prilogu  VI. Prijedlog Ugovora  (Prilog VI.)</w:t>
      </w:r>
      <w:r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 xml:space="preserve"> o nabavi </w:t>
      </w:r>
      <w:r w:rsidR="001E6871"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>n</w:t>
      </w:r>
      <w:r w:rsidR="0073556E"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>apravljen</w:t>
      </w:r>
      <w:r w:rsidR="001E6871"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>e su</w:t>
      </w:r>
      <w:r w:rsidR="0073556E"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 xml:space="preserve"> manj</w:t>
      </w:r>
      <w:r w:rsidR="001E6871"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>e</w:t>
      </w:r>
      <w:r w:rsidR="0073556E"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 xml:space="preserve"> korekcija </w:t>
      </w:r>
      <w:r w:rsidR="001E6871"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 xml:space="preserve">u </w:t>
      </w:r>
      <w:r w:rsidR="0073556E"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>č</w:t>
      </w:r>
      <w:r w:rsidR="001E6871"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>lan</w:t>
      </w:r>
      <w:r w:rsidR="0099193A"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>k</w:t>
      </w:r>
      <w:r w:rsidR="001E6871"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>u</w:t>
      </w:r>
      <w:r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 xml:space="preserve"> 1. </w:t>
      </w:r>
      <w:r w:rsidR="001E6871"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>stavak</w:t>
      </w:r>
      <w:r w:rsidR="0073556E"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 xml:space="preserve"> 3</w:t>
      </w:r>
      <w:r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 xml:space="preserve"> </w:t>
      </w:r>
      <w:r w:rsidR="0073556E"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>i člank</w:t>
      </w:r>
      <w:r w:rsidR="001E6871"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>u</w:t>
      </w:r>
      <w:r w:rsidR="0073556E"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 xml:space="preserve"> 3. </w:t>
      </w:r>
      <w:r w:rsidR="001E6871"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>s</w:t>
      </w:r>
      <w:r w:rsidR="0073556E"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 xml:space="preserve">tavak 1 </w:t>
      </w:r>
      <w:r w:rsidR="001E6871"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 xml:space="preserve">na način da je </w:t>
      </w:r>
      <w:r w:rsidR="0073556E"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 xml:space="preserve">ukupna vrijednost ugovora </w:t>
      </w:r>
      <w:r w:rsidR="001E6871"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>utvrđena najviše do ukupno procijenjenog iznosa nabave odnosno</w:t>
      </w:r>
      <w:r w:rsidR="0073556E"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 xml:space="preserve"> najviše </w:t>
      </w:r>
      <w:r w:rsidR="0073556E" w:rsidRPr="001E6871">
        <w:rPr>
          <w:rFonts w:asciiTheme="majorHAnsi" w:hAnsiTheme="majorHAnsi"/>
          <w:sz w:val="23"/>
          <w:szCs w:val="23"/>
        </w:rPr>
        <w:t>380.111,42 HRK bez PDV-a odnosno 475.139,28 HRK s PDV-om</w:t>
      </w:r>
      <w:r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 xml:space="preserve">: </w:t>
      </w:r>
    </w:p>
    <w:p w:rsidR="00D242AE" w:rsidRPr="001E6871" w:rsidRDefault="00D242AE" w:rsidP="00D242AE">
      <w:pPr>
        <w:rPr>
          <w:rFonts w:asciiTheme="majorHAnsi" w:hAnsiTheme="majorHAnsi"/>
          <w:sz w:val="23"/>
          <w:szCs w:val="23"/>
        </w:rPr>
      </w:pPr>
    </w:p>
    <w:p w:rsidR="008718AF" w:rsidRPr="001E6871" w:rsidRDefault="008718AF" w:rsidP="00875753">
      <w:pPr>
        <w:jc w:val="both"/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</w:pPr>
    </w:p>
    <w:p w:rsidR="008718AF" w:rsidRPr="001E6871" w:rsidRDefault="008718AF" w:rsidP="008718AF">
      <w:pPr>
        <w:jc w:val="both"/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</w:pPr>
      <w:r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>Ostali dio Dokumentacije o nabavi ostaje nepromijenjen.</w:t>
      </w:r>
    </w:p>
    <w:p w:rsidR="008718AF" w:rsidRPr="001E6871" w:rsidRDefault="008718AF" w:rsidP="00875753">
      <w:pPr>
        <w:jc w:val="both"/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</w:pPr>
    </w:p>
    <w:p w:rsidR="00875753" w:rsidRPr="001E6871" w:rsidRDefault="00875753" w:rsidP="00875753">
      <w:pPr>
        <w:jc w:val="both"/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</w:pPr>
      <w:r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 xml:space="preserve">S obzirom da </w:t>
      </w:r>
      <w:r w:rsidR="00EB6802"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 xml:space="preserve">se navedene izmjene smatraju izmjenama manjeg značaja </w:t>
      </w:r>
      <w:r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 xml:space="preserve">Dokumentacije </w:t>
      </w:r>
      <w:r w:rsidR="003D3F12"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>za nadmetanje</w:t>
      </w:r>
      <w:r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 xml:space="preserve">, </w:t>
      </w:r>
      <w:r w:rsidRPr="001E6871">
        <w:rPr>
          <w:rFonts w:asciiTheme="majorHAnsi" w:eastAsiaTheme="minorHAnsi" w:hAnsiTheme="majorHAnsi" w:cs="Arial"/>
          <w:b/>
          <w:color w:val="000000"/>
          <w:sz w:val="23"/>
          <w:szCs w:val="23"/>
          <w:lang w:eastAsia="en-US"/>
        </w:rPr>
        <w:t>rok za dostavu ponuda</w:t>
      </w:r>
      <w:r w:rsidR="003D3F12" w:rsidRPr="001E6871">
        <w:rPr>
          <w:rFonts w:asciiTheme="majorHAnsi" w:eastAsiaTheme="minorHAnsi" w:hAnsiTheme="majorHAnsi" w:cs="Arial"/>
          <w:b/>
          <w:color w:val="000000"/>
          <w:sz w:val="23"/>
          <w:szCs w:val="23"/>
          <w:lang w:eastAsia="en-US"/>
        </w:rPr>
        <w:t xml:space="preserve"> ostaje nepromijenjen</w:t>
      </w:r>
      <w:r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 xml:space="preserve">. </w:t>
      </w:r>
    </w:p>
    <w:p w:rsidR="00875753" w:rsidRPr="001E6871" w:rsidRDefault="00875753" w:rsidP="00875753">
      <w:pPr>
        <w:jc w:val="both"/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</w:pPr>
    </w:p>
    <w:p w:rsidR="00875753" w:rsidRPr="001E6871" w:rsidRDefault="003D3F12" w:rsidP="00875753">
      <w:pPr>
        <w:jc w:val="both"/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</w:pPr>
      <w:r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 xml:space="preserve">Izmjene Dokumentacije za nabavu dostupne su </w:t>
      </w:r>
      <w:r w:rsidR="00875753"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>na</w:t>
      </w:r>
      <w:r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 xml:space="preserve"> slijedećim mrežnim stranicama</w:t>
      </w:r>
      <w:r w:rsidR="00875753"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 xml:space="preserve">: </w:t>
      </w:r>
    </w:p>
    <w:p w:rsidR="00875753" w:rsidRPr="001E6871" w:rsidRDefault="001D2592" w:rsidP="00875753">
      <w:pPr>
        <w:jc w:val="both"/>
        <w:rPr>
          <w:rFonts w:asciiTheme="majorHAnsi" w:hAnsiTheme="majorHAnsi"/>
          <w:sz w:val="23"/>
          <w:szCs w:val="23"/>
        </w:rPr>
      </w:pPr>
      <w:hyperlink r:id="rId8" w:history="1">
        <w:r w:rsidR="00875753" w:rsidRPr="001E6871">
          <w:rPr>
            <w:rStyle w:val="Hyperlink"/>
            <w:rFonts w:asciiTheme="majorHAnsi" w:hAnsiTheme="majorHAnsi"/>
            <w:sz w:val="23"/>
            <w:szCs w:val="23"/>
          </w:rPr>
          <w:t>https://strukturnifondovi.hr/nabave-lista/program-zapo-ljavanja-ena-u-cerni-gradi-tu-i-gunji/</w:t>
        </w:r>
      </w:hyperlink>
    </w:p>
    <w:p w:rsidR="00875753" w:rsidRPr="001E6871" w:rsidRDefault="00875753" w:rsidP="00875753">
      <w:pPr>
        <w:jc w:val="both"/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</w:pPr>
      <w:r w:rsidRPr="001E6871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 xml:space="preserve">i </w:t>
      </w:r>
    </w:p>
    <w:p w:rsidR="00875753" w:rsidRPr="001E6871" w:rsidRDefault="001D2592" w:rsidP="00875753">
      <w:pPr>
        <w:rPr>
          <w:rFonts w:asciiTheme="majorHAnsi" w:hAnsiTheme="majorHAnsi"/>
          <w:sz w:val="23"/>
          <w:szCs w:val="23"/>
        </w:rPr>
      </w:pPr>
      <w:hyperlink r:id="rId9" w:history="1">
        <w:r w:rsidR="00875753" w:rsidRPr="001E6871">
          <w:rPr>
            <w:rStyle w:val="Hyperlink"/>
            <w:rFonts w:asciiTheme="majorHAnsi" w:hAnsiTheme="majorHAnsi"/>
            <w:sz w:val="23"/>
            <w:szCs w:val="23"/>
          </w:rPr>
          <w:t>http://www.crvenikrizzupanja.hr/node/646</w:t>
        </w:r>
      </w:hyperlink>
    </w:p>
    <w:p w:rsidR="00875753" w:rsidRPr="001E6871" w:rsidRDefault="00875753" w:rsidP="00875753">
      <w:pPr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</w:pPr>
    </w:p>
    <w:p w:rsidR="00875753" w:rsidRPr="001E6871" w:rsidRDefault="00875753" w:rsidP="00875753">
      <w:pPr>
        <w:rPr>
          <w:rFonts w:asciiTheme="majorHAnsi" w:hAnsiTheme="majorHAnsi"/>
          <w:sz w:val="23"/>
          <w:szCs w:val="23"/>
        </w:rPr>
      </w:pPr>
      <w:r w:rsidRPr="001E6871">
        <w:rPr>
          <w:rFonts w:asciiTheme="majorHAnsi" w:hAnsiTheme="majorHAnsi"/>
          <w:sz w:val="23"/>
          <w:szCs w:val="23"/>
        </w:rPr>
        <w:t>U Županji, 2</w:t>
      </w:r>
      <w:r w:rsidR="00B24185" w:rsidRPr="001E6871">
        <w:rPr>
          <w:rFonts w:asciiTheme="majorHAnsi" w:hAnsiTheme="majorHAnsi"/>
          <w:sz w:val="23"/>
          <w:szCs w:val="23"/>
        </w:rPr>
        <w:t>6</w:t>
      </w:r>
      <w:r w:rsidRPr="001E6871">
        <w:rPr>
          <w:rFonts w:asciiTheme="majorHAnsi" w:hAnsiTheme="majorHAnsi"/>
          <w:sz w:val="23"/>
          <w:szCs w:val="23"/>
        </w:rPr>
        <w:t xml:space="preserve">. </w:t>
      </w:r>
      <w:r w:rsidR="00CE3359" w:rsidRPr="001E6871">
        <w:rPr>
          <w:rFonts w:asciiTheme="majorHAnsi" w:hAnsiTheme="majorHAnsi"/>
          <w:sz w:val="23"/>
          <w:szCs w:val="23"/>
        </w:rPr>
        <w:t>s</w:t>
      </w:r>
      <w:r w:rsidRPr="001E6871">
        <w:rPr>
          <w:rFonts w:asciiTheme="majorHAnsi" w:hAnsiTheme="majorHAnsi"/>
          <w:sz w:val="23"/>
          <w:szCs w:val="23"/>
        </w:rPr>
        <w:t>rpnja 2018.godine</w:t>
      </w:r>
      <w:r w:rsidRPr="001E6871">
        <w:rPr>
          <w:rFonts w:asciiTheme="majorHAnsi" w:hAnsiTheme="majorHAnsi"/>
          <w:sz w:val="23"/>
          <w:szCs w:val="23"/>
        </w:rPr>
        <w:tab/>
      </w:r>
      <w:r w:rsidRPr="001E6871">
        <w:rPr>
          <w:rFonts w:asciiTheme="majorHAnsi" w:hAnsiTheme="majorHAnsi"/>
          <w:sz w:val="23"/>
          <w:szCs w:val="23"/>
        </w:rPr>
        <w:tab/>
      </w:r>
      <w:r w:rsidRPr="001E6871">
        <w:rPr>
          <w:rFonts w:asciiTheme="majorHAnsi" w:hAnsiTheme="majorHAnsi"/>
          <w:sz w:val="23"/>
          <w:szCs w:val="23"/>
        </w:rPr>
        <w:tab/>
      </w:r>
      <w:r w:rsidRPr="001E6871">
        <w:rPr>
          <w:rFonts w:asciiTheme="majorHAnsi" w:hAnsiTheme="majorHAnsi"/>
          <w:sz w:val="23"/>
          <w:szCs w:val="23"/>
        </w:rPr>
        <w:tab/>
        <w:t xml:space="preserve"> </w:t>
      </w:r>
    </w:p>
    <w:p w:rsidR="00875753" w:rsidRPr="001E6871" w:rsidRDefault="00875753" w:rsidP="00875753">
      <w:pPr>
        <w:rPr>
          <w:rFonts w:asciiTheme="majorHAnsi" w:hAnsiTheme="majorHAnsi"/>
          <w:sz w:val="23"/>
          <w:szCs w:val="23"/>
        </w:rPr>
      </w:pPr>
    </w:p>
    <w:p w:rsidR="00875753" w:rsidRPr="001E6871" w:rsidRDefault="00875753" w:rsidP="00875753">
      <w:pPr>
        <w:rPr>
          <w:rFonts w:asciiTheme="majorHAnsi" w:eastAsiaTheme="minorHAnsi" w:hAnsiTheme="majorHAnsi"/>
          <w:color w:val="000000"/>
          <w:sz w:val="23"/>
          <w:szCs w:val="23"/>
          <w:lang w:eastAsia="en-US"/>
        </w:rPr>
      </w:pPr>
    </w:p>
    <w:p w:rsidR="00875753" w:rsidRPr="001E6871" w:rsidRDefault="00875753" w:rsidP="00875753">
      <w:pPr>
        <w:rPr>
          <w:rFonts w:asciiTheme="majorHAnsi" w:hAnsiTheme="majorHAnsi"/>
          <w:sz w:val="23"/>
          <w:szCs w:val="23"/>
        </w:rPr>
      </w:pPr>
      <w:r w:rsidRPr="001E6871">
        <w:rPr>
          <w:rFonts w:asciiTheme="majorHAnsi" w:eastAsiaTheme="minorHAnsi" w:hAnsiTheme="majorHAnsi"/>
          <w:color w:val="000000"/>
          <w:sz w:val="23"/>
          <w:szCs w:val="23"/>
          <w:lang w:eastAsia="en-US"/>
        </w:rPr>
        <w:t>Povjerenstvo za provedbu postupka javne nabave - NOJN.</w:t>
      </w:r>
    </w:p>
    <w:p w:rsidR="00875753" w:rsidRPr="001E6871" w:rsidRDefault="00875753" w:rsidP="00875753">
      <w:pPr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</w:pPr>
      <w:r w:rsidRPr="001E6871">
        <w:rPr>
          <w:rFonts w:asciiTheme="majorHAnsi" w:hAnsiTheme="majorHAnsi"/>
          <w:b/>
          <w:bCs/>
          <w:sz w:val="23"/>
          <w:szCs w:val="23"/>
        </w:rPr>
        <w:t xml:space="preserve">HRVATSKI CRVENI KRIŽ - GRADSKO DRUŠTVO CRVENOG KRIŽA </w:t>
      </w:r>
      <w:r w:rsidR="00CE3359" w:rsidRPr="001E6871">
        <w:rPr>
          <w:rFonts w:asciiTheme="majorHAnsi" w:hAnsiTheme="majorHAnsi"/>
          <w:b/>
          <w:bCs/>
          <w:sz w:val="23"/>
          <w:szCs w:val="23"/>
        </w:rPr>
        <w:t>ŽUPANJA</w:t>
      </w:r>
    </w:p>
    <w:p w:rsidR="00875753" w:rsidRPr="001E6871" w:rsidRDefault="00875753" w:rsidP="00875753">
      <w:pPr>
        <w:rPr>
          <w:rFonts w:asciiTheme="majorHAnsi" w:hAnsiTheme="majorHAnsi"/>
          <w:spacing w:val="-1"/>
        </w:rPr>
      </w:pPr>
    </w:p>
    <w:p w:rsidR="007D427B" w:rsidRPr="001E6871" w:rsidRDefault="007D427B">
      <w:pPr>
        <w:rPr>
          <w:rFonts w:asciiTheme="majorHAnsi" w:hAnsiTheme="majorHAnsi"/>
        </w:rPr>
      </w:pPr>
    </w:p>
    <w:sectPr w:rsidR="007D427B" w:rsidRPr="001E6871" w:rsidSect="00335A4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F36" w:rsidRDefault="009C0F36" w:rsidP="00B24185">
      <w:r>
        <w:separator/>
      </w:r>
    </w:p>
  </w:endnote>
  <w:endnote w:type="continuationSeparator" w:id="0">
    <w:p w:rsidR="009C0F36" w:rsidRDefault="009C0F36" w:rsidP="00B24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8797782"/>
      <w:docPartObj>
        <w:docPartGallery w:val="Page Numbers (Bottom of Page)"/>
        <w:docPartUnique/>
      </w:docPartObj>
    </w:sdtPr>
    <w:sdtContent>
      <w:p w:rsidR="00B24185" w:rsidRDefault="001D2592">
        <w:pPr>
          <w:pStyle w:val="Footer"/>
          <w:jc w:val="right"/>
        </w:pPr>
        <w:fldSimple w:instr=" PAGE   \* MERGEFORMAT ">
          <w:r w:rsidR="00285C09">
            <w:rPr>
              <w:noProof/>
            </w:rPr>
            <w:t>2</w:t>
          </w:r>
        </w:fldSimple>
      </w:p>
    </w:sdtContent>
  </w:sdt>
  <w:p w:rsidR="00B24185" w:rsidRDefault="00B241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F36" w:rsidRDefault="009C0F36" w:rsidP="00B24185">
      <w:r>
        <w:separator/>
      </w:r>
    </w:p>
  </w:footnote>
  <w:footnote w:type="continuationSeparator" w:id="0">
    <w:p w:rsidR="009C0F36" w:rsidRDefault="009C0F36" w:rsidP="00B241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40C2"/>
    <w:multiLevelType w:val="multilevel"/>
    <w:tmpl w:val="1738FF8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>
      <w:start w:val="1"/>
      <w:numFmt w:val="decimal"/>
      <w:pStyle w:val="ListParagraph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577317A3"/>
    <w:multiLevelType w:val="multilevel"/>
    <w:tmpl w:val="3AD09D0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790D30CE"/>
    <w:multiLevelType w:val="multilevel"/>
    <w:tmpl w:val="75F01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5753"/>
    <w:rsid w:val="00164441"/>
    <w:rsid w:val="001B6160"/>
    <w:rsid w:val="001D117A"/>
    <w:rsid w:val="001D2592"/>
    <w:rsid w:val="001E6871"/>
    <w:rsid w:val="001F1225"/>
    <w:rsid w:val="0024684C"/>
    <w:rsid w:val="00264CAB"/>
    <w:rsid w:val="00285C09"/>
    <w:rsid w:val="003D3F12"/>
    <w:rsid w:val="00581776"/>
    <w:rsid w:val="00690F97"/>
    <w:rsid w:val="0073274D"/>
    <w:rsid w:val="0073556E"/>
    <w:rsid w:val="007A5FF2"/>
    <w:rsid w:val="007C02F0"/>
    <w:rsid w:val="007D427B"/>
    <w:rsid w:val="008718AF"/>
    <w:rsid w:val="00875753"/>
    <w:rsid w:val="009155C2"/>
    <w:rsid w:val="0099184E"/>
    <w:rsid w:val="0099193A"/>
    <w:rsid w:val="00993A6D"/>
    <w:rsid w:val="009B11BA"/>
    <w:rsid w:val="009C0F36"/>
    <w:rsid w:val="00B24185"/>
    <w:rsid w:val="00B24C21"/>
    <w:rsid w:val="00C65C24"/>
    <w:rsid w:val="00CC4000"/>
    <w:rsid w:val="00CE3359"/>
    <w:rsid w:val="00D242AE"/>
    <w:rsid w:val="00D40C99"/>
    <w:rsid w:val="00DC71C5"/>
    <w:rsid w:val="00E316A5"/>
    <w:rsid w:val="00EB6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EB6802"/>
    <w:pPr>
      <w:keepNext/>
      <w:numPr>
        <w:numId w:val="1"/>
      </w:numPr>
      <w:spacing w:before="120" w:after="120" w:line="276" w:lineRule="auto"/>
      <w:jc w:val="both"/>
      <w:outlineLvl w:val="0"/>
    </w:pPr>
    <w:rPr>
      <w:rFonts w:ascii="Calibri" w:hAnsi="Calibri"/>
      <w:b/>
      <w:bCs/>
      <w:iCs/>
      <w:sz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6802"/>
    <w:pPr>
      <w:keepNext/>
      <w:keepLines/>
      <w:numPr>
        <w:ilvl w:val="1"/>
        <w:numId w:val="1"/>
      </w:numPr>
      <w:spacing w:before="120" w:after="120" w:line="276" w:lineRule="auto"/>
      <w:jc w:val="both"/>
      <w:outlineLvl w:val="1"/>
    </w:pPr>
    <w:rPr>
      <w:rFonts w:ascii="Calibri" w:eastAsiaTheme="majorEastAsia" w:hAnsi="Calibri" w:cstheme="majorBidi"/>
      <w:b/>
      <w:bCs/>
      <w:sz w:val="22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802"/>
    <w:pPr>
      <w:keepNext/>
      <w:keepLines/>
      <w:numPr>
        <w:ilvl w:val="2"/>
        <w:numId w:val="1"/>
      </w:numPr>
      <w:spacing w:before="20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802"/>
    <w:pPr>
      <w:keepNext/>
      <w:keepLines/>
      <w:numPr>
        <w:ilvl w:val="3"/>
        <w:numId w:val="1"/>
      </w:numPr>
      <w:spacing w:before="20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802"/>
    <w:pPr>
      <w:keepNext/>
      <w:keepLines/>
      <w:numPr>
        <w:ilvl w:val="4"/>
        <w:numId w:val="1"/>
      </w:numPr>
      <w:spacing w:before="200" w:line="276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802"/>
    <w:pPr>
      <w:keepNext/>
      <w:keepLines/>
      <w:numPr>
        <w:ilvl w:val="5"/>
        <w:numId w:val="1"/>
      </w:numPr>
      <w:spacing w:before="20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802"/>
    <w:pPr>
      <w:keepNext/>
      <w:keepLines/>
      <w:numPr>
        <w:ilvl w:val="6"/>
        <w:numId w:val="1"/>
      </w:numPr>
      <w:spacing w:before="20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802"/>
    <w:pPr>
      <w:keepNext/>
      <w:keepLines/>
      <w:numPr>
        <w:ilvl w:val="7"/>
        <w:numId w:val="1"/>
      </w:numPr>
      <w:spacing w:before="200" w:line="276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802"/>
    <w:pPr>
      <w:keepNext/>
      <w:keepLines/>
      <w:numPr>
        <w:ilvl w:val="8"/>
        <w:numId w:val="1"/>
      </w:numPr>
      <w:spacing w:before="20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7575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575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B6802"/>
    <w:rPr>
      <w:rFonts w:ascii="Calibri" w:eastAsia="Times New Roman" w:hAnsi="Calibri" w:cs="Times New Roman"/>
      <w:b/>
      <w:bCs/>
      <w:iCs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EB6802"/>
    <w:rPr>
      <w:rFonts w:ascii="Calibri" w:eastAsiaTheme="majorEastAsia" w:hAnsi="Calibri" w:cstheme="majorBidi"/>
      <w:b/>
      <w:bCs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802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802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802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802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802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80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8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B6802"/>
    <w:pPr>
      <w:numPr>
        <w:ilvl w:val="1"/>
        <w:numId w:val="2"/>
      </w:numPr>
      <w:spacing w:line="276" w:lineRule="auto"/>
      <w:contextualSpacing/>
      <w:jc w:val="both"/>
    </w:pPr>
    <w:rPr>
      <w:rFonts w:ascii="Calibri" w:eastAsiaTheme="minorHAnsi" w:hAnsi="Calibri"/>
      <w:color w:val="002060"/>
      <w:sz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241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41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241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18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4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88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1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ukturnifondovi.hr/nabave-lista/program-zapo-ljavanja-ena-u-cerni-gradi-tu-i-gunj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rvenikrizzupanja.hr/node/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1F19D-DB1B-4749-BA7B-150E41FBB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6</cp:revision>
  <cp:lastPrinted>2018-07-25T10:36:00Z</cp:lastPrinted>
  <dcterms:created xsi:type="dcterms:W3CDTF">2018-07-25T10:40:00Z</dcterms:created>
  <dcterms:modified xsi:type="dcterms:W3CDTF">2018-07-26T10:08:00Z</dcterms:modified>
</cp:coreProperties>
</file>